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068"/>
        <w:gridCol w:w="4231"/>
      </w:tblGrid>
      <w:tr w:rsidR="00AD2065" w:rsidTr="00396C07">
        <w:trPr>
          <w:trHeight w:val="915"/>
        </w:trPr>
        <w:tc>
          <w:tcPr>
            <w:tcW w:w="5644" w:type="dxa"/>
            <w:vAlign w:val="center"/>
          </w:tcPr>
          <w:p w:rsidR="00907E0D" w:rsidRDefault="00AD2065" w:rsidP="007B58E6">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2014 </w:t>
            </w:r>
            <w:r w:rsidR="007B58E6">
              <w:rPr>
                <w:rFonts w:asciiTheme="majorHAnsi" w:eastAsiaTheme="majorEastAsia" w:hAnsiTheme="majorHAnsi" w:cstheme="majorBidi"/>
                <w:sz w:val="36"/>
                <w:szCs w:val="36"/>
              </w:rPr>
              <w:t>EKİM</w:t>
            </w:r>
            <w:r>
              <w:rPr>
                <w:rFonts w:asciiTheme="majorHAnsi" w:eastAsiaTheme="majorEastAsia" w:hAnsiTheme="majorHAnsi" w:cstheme="majorBidi"/>
                <w:sz w:val="36"/>
                <w:szCs w:val="36"/>
              </w:rPr>
              <w:t xml:space="preserve"> </w:t>
            </w:r>
          </w:p>
          <w:p w:rsidR="006B2D78" w:rsidRDefault="00CB581E" w:rsidP="006B2D78">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Kurumlar</w:t>
            </w:r>
            <w:r w:rsidR="006B2D78">
              <w:rPr>
                <w:rFonts w:asciiTheme="majorHAnsi" w:eastAsiaTheme="majorEastAsia" w:hAnsiTheme="majorHAnsi" w:cstheme="majorBidi"/>
                <w:sz w:val="36"/>
                <w:szCs w:val="36"/>
              </w:rPr>
              <w:t xml:space="preserve"> Vergisi </w:t>
            </w:r>
          </w:p>
          <w:p w:rsidR="00AD2065" w:rsidRDefault="006B2D78" w:rsidP="006B2D78">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Faal Mükellef Sayıları</w:t>
            </w:r>
          </w:p>
        </w:tc>
        <w:tc>
          <w:tcPr>
            <w:tcW w:w="4678" w:type="dxa"/>
          </w:tcPr>
          <w:p w:rsidR="00AD2065" w:rsidRDefault="007B58E6" w:rsidP="007B58E6">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10</w:t>
            </w:r>
            <w:r w:rsidR="00BC294E">
              <w:rPr>
                <w:rFonts w:asciiTheme="majorHAnsi" w:eastAsiaTheme="majorEastAsia" w:hAnsiTheme="majorHAnsi" w:cstheme="majorBidi"/>
                <w:bCs/>
                <w:sz w:val="28"/>
                <w:szCs w:val="36"/>
              </w:rPr>
              <w:t xml:space="preserve"> Kasım</w:t>
            </w:r>
            <w:r w:rsidR="00AD2065">
              <w:rPr>
                <w:rFonts w:asciiTheme="majorHAnsi" w:eastAsiaTheme="majorEastAsia" w:hAnsiTheme="majorHAnsi" w:cstheme="majorBidi"/>
                <w:bCs/>
                <w:sz w:val="28"/>
                <w:szCs w:val="36"/>
              </w:rPr>
              <w:t xml:space="preserve"> 2014  </w:t>
            </w:r>
            <w:r w:rsidR="00AD2065">
              <w:rPr>
                <w:rFonts w:asciiTheme="majorHAnsi" w:eastAsiaTheme="majorEastAsia" w:hAnsiTheme="majorHAnsi" w:cstheme="majorBidi"/>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6B2D78" w:rsidRPr="006B2D78" w:rsidRDefault="00ED7524" w:rsidP="00ED7524">
      <w:pPr>
        <w:spacing w:line="360" w:lineRule="auto"/>
        <w:rPr>
          <w:rFonts w:ascii="Times New Roman" w:hAnsi="Times New Roman" w:cs="Times New Roman"/>
          <w:b/>
        </w:rPr>
      </w:pPr>
      <w:r w:rsidRPr="006B2D78">
        <w:rPr>
          <w:rFonts w:ascii="Times New Roman" w:hAnsi="Times New Roman" w:cs="Times New Roman"/>
          <w:b/>
        </w:rPr>
        <w:t>Ekim 2014</w:t>
      </w:r>
      <w:r w:rsidR="006B2D78" w:rsidRPr="006B2D78">
        <w:rPr>
          <w:rFonts w:ascii="Times New Roman" w:hAnsi="Times New Roman" w:cs="Times New Roman"/>
          <w:b/>
        </w:rPr>
        <w:t xml:space="preserve"> </w:t>
      </w:r>
      <w:r w:rsidR="00CB581E">
        <w:rPr>
          <w:rFonts w:ascii="Times New Roman" w:hAnsi="Times New Roman" w:cs="Times New Roman"/>
          <w:b/>
        </w:rPr>
        <w:t>kurumlar</w:t>
      </w:r>
      <w:r w:rsidR="006B2D78" w:rsidRPr="006B2D78">
        <w:rPr>
          <w:rFonts w:ascii="Times New Roman" w:hAnsi="Times New Roman" w:cs="Times New Roman"/>
          <w:b/>
        </w:rPr>
        <w:t xml:space="preserve"> vergisi faal mükellef sayıları</w:t>
      </w:r>
      <w:r w:rsidRPr="006B2D78">
        <w:rPr>
          <w:rFonts w:ascii="Times New Roman" w:hAnsi="Times New Roman" w:cs="Times New Roman"/>
          <w:b/>
        </w:rPr>
        <w:t xml:space="preserve"> </w:t>
      </w:r>
      <w:r w:rsidR="006B2D78" w:rsidRPr="006B2D78">
        <w:rPr>
          <w:rFonts w:ascii="Times New Roman" w:hAnsi="Times New Roman" w:cs="Times New Roman"/>
          <w:b/>
        </w:rPr>
        <w:t xml:space="preserve">Gelir İdaresi Başkanlığı tarafından 10 </w:t>
      </w:r>
      <w:r w:rsidR="006B2D78">
        <w:rPr>
          <w:rFonts w:ascii="Times New Roman" w:hAnsi="Times New Roman" w:cs="Times New Roman"/>
          <w:b/>
        </w:rPr>
        <w:t>Kasım</w:t>
      </w:r>
      <w:r w:rsidR="006B2D78" w:rsidRPr="006B2D78">
        <w:rPr>
          <w:rFonts w:ascii="Times New Roman" w:hAnsi="Times New Roman" w:cs="Times New Roman"/>
          <w:b/>
        </w:rPr>
        <w:t xml:space="preserve"> tarihinde </w:t>
      </w:r>
      <w:r w:rsidRPr="006B2D78">
        <w:rPr>
          <w:rFonts w:ascii="Times New Roman" w:hAnsi="Times New Roman" w:cs="Times New Roman"/>
          <w:b/>
        </w:rPr>
        <w:t xml:space="preserve">açıklandı. </w:t>
      </w:r>
    </w:p>
    <w:p w:rsidR="00CB581E" w:rsidRDefault="00CB581E" w:rsidP="00CB581E">
      <w:pPr>
        <w:spacing w:line="360" w:lineRule="auto"/>
        <w:rPr>
          <w:rFonts w:ascii="Times New Roman" w:hAnsi="Times New Roman" w:cs="Times New Roman"/>
        </w:rPr>
      </w:pPr>
      <w:r w:rsidRPr="005D1CCA">
        <w:rPr>
          <w:rFonts w:ascii="Times New Roman" w:hAnsi="Times New Roman" w:cs="Times New Roman"/>
        </w:rPr>
        <w:t>Ekim</w:t>
      </w:r>
      <w:r>
        <w:rPr>
          <w:rFonts w:ascii="Times New Roman" w:hAnsi="Times New Roman" w:cs="Times New Roman"/>
        </w:rPr>
        <w:t xml:space="preserve"> 2014’de Türkiye genelinde kurumlar vergisi faal</w:t>
      </w:r>
      <w:r w:rsidRPr="005D1CCA">
        <w:rPr>
          <w:rFonts w:ascii="Times New Roman" w:hAnsi="Times New Roman" w:cs="Times New Roman"/>
        </w:rPr>
        <w:t xml:space="preserve"> mükel</w:t>
      </w:r>
      <w:r>
        <w:rPr>
          <w:rFonts w:ascii="Times New Roman" w:hAnsi="Times New Roman" w:cs="Times New Roman"/>
        </w:rPr>
        <w:t>lefi sayısı 673 bin 423</w:t>
      </w:r>
      <w:r w:rsidRPr="005D1CCA">
        <w:rPr>
          <w:rFonts w:ascii="Times New Roman" w:hAnsi="Times New Roman" w:cs="Times New Roman"/>
        </w:rPr>
        <w:t xml:space="preserve"> kişiye ulaştı.</w:t>
      </w:r>
      <w:r>
        <w:rPr>
          <w:rFonts w:ascii="Times New Roman" w:hAnsi="Times New Roman" w:cs="Times New Roman"/>
        </w:rPr>
        <w:t xml:space="preserve"> Kurumlar </w:t>
      </w:r>
      <w:r w:rsidRPr="005D1CCA">
        <w:rPr>
          <w:rFonts w:ascii="Times New Roman" w:hAnsi="Times New Roman" w:cs="Times New Roman"/>
        </w:rPr>
        <w:t>vergisi faal mükellef sayısında Türkiye genelinde bir önceki yı</w:t>
      </w:r>
      <w:r>
        <w:rPr>
          <w:rFonts w:ascii="Times New Roman" w:hAnsi="Times New Roman" w:cs="Times New Roman"/>
        </w:rPr>
        <w:t>lın aynı dönemine göre yüzde 2</w:t>
      </w:r>
      <w:r w:rsidRPr="005D1CCA">
        <w:rPr>
          <w:rFonts w:ascii="Times New Roman" w:hAnsi="Times New Roman" w:cs="Times New Roman"/>
        </w:rPr>
        <w:t>’</w:t>
      </w:r>
      <w:r>
        <w:rPr>
          <w:rFonts w:ascii="Times New Roman" w:hAnsi="Times New Roman" w:cs="Times New Roman"/>
        </w:rPr>
        <w:t xml:space="preserve">lik bir artış yaşandı. </w:t>
      </w:r>
    </w:p>
    <w:p w:rsidR="00CB581E" w:rsidRDefault="00CB581E" w:rsidP="00CB581E">
      <w:pPr>
        <w:spacing w:line="360" w:lineRule="auto"/>
        <w:rPr>
          <w:rFonts w:ascii="Times New Roman" w:hAnsi="Times New Roman" w:cs="Times New Roman"/>
          <w:szCs w:val="18"/>
        </w:rPr>
      </w:pPr>
      <w:r>
        <w:rPr>
          <w:rFonts w:ascii="Times New Roman" w:hAnsi="Times New Roman" w:cs="Times New Roman"/>
          <w:b/>
          <w:szCs w:val="18"/>
        </w:rPr>
        <w:t>Grafik</w:t>
      </w:r>
      <w:r w:rsidRPr="00CB6DC5">
        <w:rPr>
          <w:rFonts w:ascii="Times New Roman" w:hAnsi="Times New Roman" w:cs="Times New Roman"/>
          <w:b/>
          <w:szCs w:val="18"/>
        </w:rPr>
        <w:t xml:space="preserve"> 1.</w:t>
      </w:r>
      <w:r w:rsidRPr="00CB6DC5">
        <w:rPr>
          <w:rFonts w:ascii="Times New Roman" w:hAnsi="Times New Roman" w:cs="Times New Roman"/>
          <w:szCs w:val="18"/>
        </w:rPr>
        <w:t xml:space="preserve"> </w:t>
      </w:r>
      <w:r>
        <w:rPr>
          <w:rFonts w:ascii="Times New Roman" w:hAnsi="Times New Roman" w:cs="Times New Roman"/>
          <w:szCs w:val="18"/>
        </w:rPr>
        <w:t>Türkiye Geneli Kurumlar</w:t>
      </w:r>
      <w:r w:rsidRPr="00CB6DC5">
        <w:rPr>
          <w:rFonts w:ascii="Times New Roman" w:hAnsi="Times New Roman" w:cs="Times New Roman"/>
          <w:szCs w:val="18"/>
        </w:rPr>
        <w:t xml:space="preserve"> </w:t>
      </w:r>
      <w:r>
        <w:rPr>
          <w:rFonts w:ascii="Times New Roman" w:hAnsi="Times New Roman" w:cs="Times New Roman"/>
          <w:szCs w:val="18"/>
        </w:rPr>
        <w:t xml:space="preserve">Vergisi Faal </w:t>
      </w:r>
      <w:r w:rsidRPr="00CB6DC5">
        <w:rPr>
          <w:rFonts w:ascii="Times New Roman" w:hAnsi="Times New Roman" w:cs="Times New Roman"/>
          <w:szCs w:val="18"/>
        </w:rPr>
        <w:t>Mükellef Sayısı</w:t>
      </w:r>
      <w:r>
        <w:rPr>
          <w:rFonts w:ascii="Times New Roman" w:hAnsi="Times New Roman" w:cs="Times New Roman"/>
          <w:szCs w:val="18"/>
        </w:rPr>
        <w:t xml:space="preserve"> </w:t>
      </w:r>
      <w:r w:rsidRPr="00CB6DC5">
        <w:rPr>
          <w:rFonts w:ascii="Times New Roman" w:hAnsi="Times New Roman" w:cs="Times New Roman"/>
          <w:szCs w:val="18"/>
        </w:rPr>
        <w:t xml:space="preserve"> (Ekim; 2014 - 2013)</w:t>
      </w:r>
    </w:p>
    <w:p w:rsidR="00CB581E" w:rsidRDefault="00CB581E" w:rsidP="00CB581E">
      <w:pPr>
        <w:spacing w:line="360" w:lineRule="auto"/>
      </w:pPr>
      <w:r w:rsidRPr="004A0669">
        <w:rPr>
          <w:noProof/>
        </w:rPr>
        <w:drawing>
          <wp:inline distT="0" distB="0" distL="0" distR="0">
            <wp:extent cx="5686425" cy="2571750"/>
            <wp:effectExtent l="19050" t="0" r="9525"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581E" w:rsidRDefault="00CB581E" w:rsidP="00CB581E">
      <w:pPr>
        <w:spacing w:line="360" w:lineRule="auto"/>
        <w:rPr>
          <w:rFonts w:ascii="Times New Roman" w:hAnsi="Times New Roman" w:cs="Times New Roman"/>
          <w:szCs w:val="18"/>
        </w:rPr>
      </w:pPr>
      <w:r>
        <w:rPr>
          <w:rFonts w:ascii="Times New Roman" w:hAnsi="Times New Roman" w:cs="Times New Roman"/>
          <w:b/>
          <w:szCs w:val="18"/>
        </w:rPr>
        <w:t>Grafik 2</w:t>
      </w:r>
      <w:r w:rsidRPr="00CB6DC5">
        <w:rPr>
          <w:rFonts w:ascii="Times New Roman" w:hAnsi="Times New Roman" w:cs="Times New Roman"/>
          <w:b/>
          <w:szCs w:val="18"/>
        </w:rPr>
        <w:t>.</w:t>
      </w:r>
      <w:r w:rsidRPr="00CB6DC5">
        <w:rPr>
          <w:rFonts w:ascii="Times New Roman" w:hAnsi="Times New Roman" w:cs="Times New Roman"/>
          <w:szCs w:val="18"/>
        </w:rPr>
        <w:t xml:space="preserve"> </w:t>
      </w:r>
      <w:r>
        <w:rPr>
          <w:rFonts w:ascii="Times New Roman" w:hAnsi="Times New Roman" w:cs="Times New Roman"/>
          <w:szCs w:val="18"/>
        </w:rPr>
        <w:t>Kurumlar Vergisi Faal Mükellef Sayılarının İllere Göre Dağılımı</w:t>
      </w:r>
      <w:r w:rsidRPr="00CB6DC5">
        <w:rPr>
          <w:rFonts w:ascii="Times New Roman" w:hAnsi="Times New Roman" w:cs="Times New Roman"/>
          <w:szCs w:val="18"/>
        </w:rPr>
        <w:t xml:space="preserve"> (Ekim</w:t>
      </w:r>
      <w:r>
        <w:rPr>
          <w:rFonts w:ascii="Times New Roman" w:hAnsi="Times New Roman" w:cs="Times New Roman"/>
          <w:szCs w:val="18"/>
        </w:rPr>
        <w:t>; 2014</w:t>
      </w:r>
      <w:r w:rsidRPr="00CB6DC5">
        <w:rPr>
          <w:rFonts w:ascii="Times New Roman" w:hAnsi="Times New Roman" w:cs="Times New Roman"/>
          <w:szCs w:val="18"/>
        </w:rPr>
        <w:t>)</w:t>
      </w:r>
    </w:p>
    <w:p w:rsidR="00CB581E" w:rsidRDefault="00805CFB" w:rsidP="00CB581E">
      <w:pPr>
        <w:spacing w:line="360" w:lineRule="auto"/>
      </w:pPr>
      <w:r>
        <w:rPr>
          <w:noProof/>
          <w:lang w:eastAsia="en-US"/>
        </w:rPr>
        <w:pict>
          <v:shapetype id="_x0000_t202" coordsize="21600,21600" o:spt="202" path="m,l,21600r21600,l21600,xe">
            <v:stroke joinstyle="miter"/>
            <v:path gradientshapeok="t" o:connecttype="rect"/>
          </v:shapetype>
          <v:shape id="_x0000_s1028" type="#_x0000_t202" style="position:absolute;margin-left:391.55pt;margin-top:26.6pt;width:99.9pt;height:33.4pt;z-index:251658240;mso-height-percent:200;mso-height-percent:200;mso-width-relative:margin;mso-height-relative:margin" filled="f" stroked="f" strokecolor="blue">
            <v:textbox style="mso-fit-shape-to-text:t">
              <w:txbxContent>
                <w:p w:rsidR="00CB581E" w:rsidRDefault="00CB581E" w:rsidP="00CB581E">
                  <w:r>
                    <w:rPr>
                      <w:noProof/>
                    </w:rPr>
                    <w:drawing>
                      <wp:inline distT="0" distB="0" distL="0" distR="0">
                        <wp:extent cx="846815" cy="1019175"/>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846815" cy="1019175"/>
                                </a:xfrm>
                                <a:prstGeom prst="rect">
                                  <a:avLst/>
                                </a:prstGeom>
                                <a:noFill/>
                                <a:ln w="9525">
                                  <a:noFill/>
                                  <a:miter lim="800000"/>
                                  <a:headEnd/>
                                  <a:tailEnd/>
                                </a:ln>
                              </pic:spPr>
                            </pic:pic>
                          </a:graphicData>
                        </a:graphic>
                      </wp:inline>
                    </w:drawing>
                  </w:r>
                </w:p>
              </w:txbxContent>
            </v:textbox>
          </v:shape>
        </w:pict>
      </w:r>
      <w:r w:rsidR="00CB581E">
        <w:rPr>
          <w:noProof/>
        </w:rPr>
        <w:drawing>
          <wp:inline distT="0" distB="0" distL="0" distR="0">
            <wp:extent cx="4772025" cy="1990725"/>
            <wp:effectExtent l="19050" t="0" r="952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776982" cy="1992793"/>
                    </a:xfrm>
                    <a:prstGeom prst="rect">
                      <a:avLst/>
                    </a:prstGeom>
                    <a:noFill/>
                    <a:ln w="9525">
                      <a:noFill/>
                      <a:miter lim="800000"/>
                      <a:headEnd/>
                      <a:tailEnd/>
                    </a:ln>
                  </pic:spPr>
                </pic:pic>
              </a:graphicData>
            </a:graphic>
          </wp:inline>
        </w:drawing>
      </w:r>
    </w:p>
    <w:p w:rsidR="00CB581E" w:rsidRDefault="00CB581E" w:rsidP="00CB581E">
      <w:pPr>
        <w:spacing w:line="360" w:lineRule="auto"/>
        <w:rPr>
          <w:rFonts w:ascii="Times New Roman" w:hAnsi="Times New Roman" w:cs="Times New Roman"/>
          <w:sz w:val="24"/>
        </w:rPr>
      </w:pPr>
      <w:r>
        <w:rPr>
          <w:rFonts w:ascii="Times New Roman" w:hAnsi="Times New Roman" w:cs="Times New Roman"/>
          <w:sz w:val="24"/>
        </w:rPr>
        <w:lastRenderedPageBreak/>
        <w:t xml:space="preserve">İl bazında değerlendirildiğinde Ekim 2014’te kurumlar vergisi faal mükellef sayısı en fazla olan il yaklaşık 250 bin mükellef ile İstanbul oldu. İstanbul’u 75 bin’le Ankara, 44 binle İzmir ve 25 binle Antalya takip etti. </w:t>
      </w:r>
    </w:p>
    <w:p w:rsidR="00CB581E" w:rsidRDefault="00CB581E" w:rsidP="00CB581E">
      <w:pPr>
        <w:spacing w:line="360" w:lineRule="auto"/>
        <w:rPr>
          <w:rFonts w:ascii="Times New Roman" w:hAnsi="Times New Roman" w:cs="Times New Roman"/>
          <w:szCs w:val="18"/>
        </w:rPr>
      </w:pPr>
      <w:r>
        <w:rPr>
          <w:rFonts w:ascii="Times New Roman" w:hAnsi="Times New Roman" w:cs="Times New Roman"/>
          <w:b/>
          <w:szCs w:val="18"/>
        </w:rPr>
        <w:t>Grafik 3</w:t>
      </w:r>
      <w:r w:rsidRPr="00CB6DC5">
        <w:rPr>
          <w:rFonts w:ascii="Times New Roman" w:hAnsi="Times New Roman" w:cs="Times New Roman"/>
          <w:b/>
          <w:szCs w:val="18"/>
        </w:rPr>
        <w:t>.</w:t>
      </w:r>
      <w:r w:rsidRPr="00CB6DC5">
        <w:rPr>
          <w:rFonts w:ascii="Times New Roman" w:hAnsi="Times New Roman" w:cs="Times New Roman"/>
          <w:szCs w:val="18"/>
        </w:rPr>
        <w:t xml:space="preserve"> </w:t>
      </w:r>
      <w:r>
        <w:rPr>
          <w:rFonts w:ascii="Times New Roman" w:hAnsi="Times New Roman" w:cs="Times New Roman"/>
          <w:szCs w:val="18"/>
        </w:rPr>
        <w:t>Kurumlar Vergisi Faal Mükellef Sayısı En Fazla Olan 10 İl</w:t>
      </w:r>
      <w:r w:rsidRPr="00CB6DC5">
        <w:rPr>
          <w:rFonts w:ascii="Times New Roman" w:hAnsi="Times New Roman" w:cs="Times New Roman"/>
          <w:szCs w:val="18"/>
        </w:rPr>
        <w:t xml:space="preserve"> (Ekim</w:t>
      </w:r>
      <w:r>
        <w:rPr>
          <w:rFonts w:ascii="Times New Roman" w:hAnsi="Times New Roman" w:cs="Times New Roman"/>
          <w:szCs w:val="18"/>
        </w:rPr>
        <w:t>; 2014</w:t>
      </w:r>
      <w:r w:rsidRPr="00CB6DC5">
        <w:rPr>
          <w:rFonts w:ascii="Times New Roman" w:hAnsi="Times New Roman" w:cs="Times New Roman"/>
          <w:szCs w:val="18"/>
        </w:rPr>
        <w:t>)</w:t>
      </w:r>
    </w:p>
    <w:p w:rsidR="00CB581E" w:rsidRPr="0079756D" w:rsidRDefault="00CB581E" w:rsidP="00CB581E">
      <w:pPr>
        <w:spacing w:line="360" w:lineRule="auto"/>
        <w:rPr>
          <w:rFonts w:ascii="Times New Roman" w:hAnsi="Times New Roman" w:cs="Times New Roman"/>
          <w:szCs w:val="18"/>
        </w:rPr>
      </w:pPr>
      <w:r w:rsidRPr="00BA4F2E">
        <w:rPr>
          <w:rFonts w:ascii="Times New Roman" w:hAnsi="Times New Roman" w:cs="Times New Roman"/>
          <w:noProof/>
          <w:szCs w:val="18"/>
        </w:rPr>
        <w:drawing>
          <wp:inline distT="0" distB="0" distL="0" distR="0">
            <wp:extent cx="5534025" cy="2743200"/>
            <wp:effectExtent l="19050" t="0" r="9525" b="0"/>
            <wp:docPr id="1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581E" w:rsidRDefault="00CB581E" w:rsidP="00CB581E">
      <w:pPr>
        <w:spacing w:line="360" w:lineRule="auto"/>
        <w:rPr>
          <w:rFonts w:ascii="Times New Roman" w:hAnsi="Times New Roman" w:cs="Times New Roman"/>
          <w:sz w:val="24"/>
        </w:rPr>
      </w:pPr>
      <w:r>
        <w:rPr>
          <w:rFonts w:ascii="Times New Roman" w:hAnsi="Times New Roman" w:cs="Times New Roman"/>
          <w:sz w:val="24"/>
        </w:rPr>
        <w:t>Ekim 2014’te kurumlar vergisi faal mükellef sayısı en az olan il ise 221 mükellef ile Ardahan oldu. Ardahan’ı 249 mükellef ile Bayburt, 256 mükellef ile Tunceli ve 433 mükellef ile Kilis takip etti.</w:t>
      </w:r>
    </w:p>
    <w:p w:rsidR="00160C8F" w:rsidRDefault="00CB581E" w:rsidP="00CB581E">
      <w:pPr>
        <w:spacing w:line="360" w:lineRule="auto"/>
        <w:rPr>
          <w:rFonts w:ascii="Times New Roman" w:hAnsi="Times New Roman" w:cs="Times New Roman"/>
          <w:szCs w:val="18"/>
        </w:rPr>
      </w:pPr>
      <w:r>
        <w:rPr>
          <w:rFonts w:ascii="Times New Roman" w:hAnsi="Times New Roman" w:cs="Times New Roman"/>
          <w:b/>
          <w:szCs w:val="18"/>
        </w:rPr>
        <w:t>Grafik 4</w:t>
      </w:r>
      <w:r w:rsidRPr="00CB6DC5">
        <w:rPr>
          <w:rFonts w:ascii="Times New Roman" w:hAnsi="Times New Roman" w:cs="Times New Roman"/>
          <w:b/>
          <w:szCs w:val="18"/>
        </w:rPr>
        <w:t>.</w:t>
      </w:r>
      <w:r w:rsidRPr="00CB6DC5">
        <w:rPr>
          <w:rFonts w:ascii="Times New Roman" w:hAnsi="Times New Roman" w:cs="Times New Roman"/>
          <w:szCs w:val="18"/>
        </w:rPr>
        <w:t xml:space="preserve"> </w:t>
      </w:r>
      <w:r>
        <w:rPr>
          <w:rFonts w:ascii="Times New Roman" w:hAnsi="Times New Roman" w:cs="Times New Roman"/>
          <w:szCs w:val="18"/>
        </w:rPr>
        <w:t>Kurumlar Vergisi Faal Mükellef Sayısı En Az Olan10 İl</w:t>
      </w:r>
      <w:r w:rsidRPr="00CB6DC5">
        <w:rPr>
          <w:rFonts w:ascii="Times New Roman" w:hAnsi="Times New Roman" w:cs="Times New Roman"/>
          <w:szCs w:val="18"/>
        </w:rPr>
        <w:t xml:space="preserve"> (Ekim</w:t>
      </w:r>
      <w:r>
        <w:rPr>
          <w:rFonts w:ascii="Times New Roman" w:hAnsi="Times New Roman" w:cs="Times New Roman"/>
          <w:szCs w:val="18"/>
        </w:rPr>
        <w:t>; 2014</w:t>
      </w:r>
      <w:r w:rsidRPr="00CB6DC5">
        <w:rPr>
          <w:rFonts w:ascii="Times New Roman" w:hAnsi="Times New Roman" w:cs="Times New Roman"/>
          <w:szCs w:val="18"/>
        </w:rPr>
        <w:t>)</w:t>
      </w:r>
      <w:r w:rsidRPr="00E11C28">
        <w:rPr>
          <w:noProof/>
        </w:rPr>
        <w:drawing>
          <wp:inline distT="0" distB="0" distL="0" distR="0">
            <wp:extent cx="5534025" cy="2743200"/>
            <wp:effectExtent l="19050" t="0" r="9525" b="0"/>
            <wp:docPr id="11"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8364"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90"/>
        <w:gridCol w:w="905"/>
        <w:gridCol w:w="811"/>
        <w:gridCol w:w="2214"/>
        <w:gridCol w:w="1701"/>
        <w:gridCol w:w="1843"/>
      </w:tblGrid>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Pr>
                <w:rFonts w:ascii="Tahoma" w:eastAsia="Times New Roman" w:hAnsi="Tahoma" w:cs="Tahoma"/>
                <w:b/>
                <w:bCs/>
                <w:color w:val="333333"/>
                <w:sz w:val="20"/>
                <w:szCs w:val="20"/>
              </w:rPr>
              <w:lastRenderedPageBreak/>
              <w:t>Aralık</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AKSARAY</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TOPLAM</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Aksaray/Türkiye Oranı</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Aksaray Büyüme</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Türkiye Büyüme</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Ara.12</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2.069</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662.190</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0,31</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Oca.13</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2.062</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660.944</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0,31</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-0,34</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-0,19</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Şub.13</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2.066</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660.776</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0,31</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0,19</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-0,03</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Mar.13</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2.069</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660.703</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0,31</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0,15</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-0,01</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Nis.13</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2.080</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660.568</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0,31</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0,53</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-0,02</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May.13</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2.080</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661.134</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0,31</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0,00</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0,09</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Haz.13</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2.091</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661.761</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0,32</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0,53</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0,09</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Tem.13</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2.095</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662.182</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0,32</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0,19</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0,06</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Ağu.13</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2.095</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663.102</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0,32</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0,00</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0,14</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Eyl.13</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2.091</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663.521</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0,32</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-0,19</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0,06</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Eki.13</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2.096</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662.380</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0,32</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0,24</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-0,17</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Kas.13</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2.097</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662.909</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0,32</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0,05</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0,08</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Ara.13</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2.103</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662.225</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0,32</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0,29</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-0,10</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Oca.14</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2.108</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662.341</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0,32</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0,24</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0,02</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Şub.14</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2.099</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663.429</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0,32</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-0,43</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0,16</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Mar.14</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2.107</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665.107</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0,32</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0,38</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0,25</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Nis.14</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2.111</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667.021</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0,32</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0,19</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0,29</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May.14</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2.123</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668.980</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0,32</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0,57</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0,29</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Haz.14</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2.126</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669.310</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0,32</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0,14</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0,05</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Tem.14</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2.139</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669.801</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0,32</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0,61</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0,07</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Ağu.14</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2.144</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670.980</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0,32</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0,23</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0,18</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Eyl.14</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2.149</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672.461</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0,32</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0,23</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0,22</w:t>
            </w:r>
          </w:p>
        </w:tc>
      </w:tr>
      <w:tr w:rsidR="00A331C8" w:rsidRPr="00A331C8" w:rsidTr="00A331C8">
        <w:trPr>
          <w:trHeight w:val="315"/>
          <w:jc w:val="center"/>
        </w:trPr>
        <w:tc>
          <w:tcPr>
            <w:tcW w:w="890"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20"/>
                <w:szCs w:val="20"/>
              </w:rPr>
            </w:pPr>
            <w:r w:rsidRPr="00A331C8">
              <w:rPr>
                <w:rFonts w:ascii="Tahoma" w:eastAsia="Times New Roman" w:hAnsi="Tahoma" w:cs="Tahoma"/>
                <w:b/>
                <w:bCs/>
                <w:color w:val="333333"/>
                <w:sz w:val="20"/>
                <w:szCs w:val="20"/>
              </w:rPr>
              <w:t>Eki.14</w:t>
            </w:r>
          </w:p>
        </w:tc>
        <w:tc>
          <w:tcPr>
            <w:tcW w:w="905"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color w:val="333333"/>
                <w:sz w:val="16"/>
                <w:szCs w:val="16"/>
              </w:rPr>
            </w:pPr>
            <w:r w:rsidRPr="00A331C8">
              <w:rPr>
                <w:rFonts w:ascii="Tahoma" w:eastAsia="Times New Roman" w:hAnsi="Tahoma" w:cs="Tahoma"/>
                <w:color w:val="333333"/>
                <w:sz w:val="16"/>
                <w:szCs w:val="16"/>
              </w:rPr>
              <w:t>2.150</w:t>
            </w:r>
          </w:p>
        </w:tc>
        <w:tc>
          <w:tcPr>
            <w:tcW w:w="811" w:type="dxa"/>
            <w:shd w:val="clear" w:color="000000" w:fill="FEF3E9"/>
            <w:vAlign w:val="bottom"/>
            <w:hideMark/>
          </w:tcPr>
          <w:p w:rsidR="00A331C8" w:rsidRPr="00A331C8" w:rsidRDefault="00A331C8" w:rsidP="00A331C8">
            <w:pPr>
              <w:spacing w:after="0" w:line="240" w:lineRule="auto"/>
              <w:jc w:val="center"/>
              <w:rPr>
                <w:rFonts w:ascii="Tahoma" w:eastAsia="Times New Roman" w:hAnsi="Tahoma" w:cs="Tahoma"/>
                <w:b/>
                <w:bCs/>
                <w:color w:val="333333"/>
                <w:sz w:val="16"/>
                <w:szCs w:val="16"/>
              </w:rPr>
            </w:pPr>
            <w:r w:rsidRPr="00A331C8">
              <w:rPr>
                <w:rFonts w:ascii="Tahoma" w:eastAsia="Times New Roman" w:hAnsi="Tahoma" w:cs="Tahoma"/>
                <w:b/>
                <w:bCs/>
                <w:color w:val="333333"/>
                <w:sz w:val="16"/>
                <w:szCs w:val="16"/>
              </w:rPr>
              <w:t>673.423</w:t>
            </w:r>
          </w:p>
        </w:tc>
        <w:tc>
          <w:tcPr>
            <w:tcW w:w="2214"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0,32</w:t>
            </w:r>
          </w:p>
        </w:tc>
        <w:tc>
          <w:tcPr>
            <w:tcW w:w="1701"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0,05</w:t>
            </w:r>
          </w:p>
        </w:tc>
        <w:tc>
          <w:tcPr>
            <w:tcW w:w="1843" w:type="dxa"/>
            <w:shd w:val="clear" w:color="auto" w:fill="auto"/>
            <w:noWrap/>
            <w:vAlign w:val="bottom"/>
            <w:hideMark/>
          </w:tcPr>
          <w:p w:rsidR="00A331C8" w:rsidRPr="00A331C8" w:rsidRDefault="00A331C8" w:rsidP="00A331C8">
            <w:pPr>
              <w:spacing w:after="0" w:line="240" w:lineRule="auto"/>
              <w:jc w:val="center"/>
              <w:rPr>
                <w:rFonts w:ascii="Calibri" w:eastAsia="Times New Roman" w:hAnsi="Calibri" w:cs="Calibri"/>
                <w:color w:val="000000"/>
              </w:rPr>
            </w:pPr>
            <w:r w:rsidRPr="00A331C8">
              <w:rPr>
                <w:rFonts w:ascii="Calibri" w:eastAsia="Times New Roman" w:hAnsi="Calibri" w:cs="Calibri"/>
                <w:color w:val="000000"/>
              </w:rPr>
              <w:t>0,14</w:t>
            </w:r>
          </w:p>
        </w:tc>
      </w:tr>
    </w:tbl>
    <w:p w:rsidR="00A331C8" w:rsidRDefault="00A331C8" w:rsidP="00CB581E">
      <w:pPr>
        <w:spacing w:line="360" w:lineRule="auto"/>
      </w:pPr>
    </w:p>
    <w:p w:rsidR="00A331C8" w:rsidRDefault="00A331C8" w:rsidP="00CB581E">
      <w:pPr>
        <w:spacing w:line="360" w:lineRule="auto"/>
      </w:pPr>
      <w:r>
        <w:t>Aksaray ilinin kurumlar vergisi faal mükellef sayısından Türkiye bazında aldığı pay %0,31 den %0.32 düzeyine geçmiştir ve 2013 Haziranından Ekim 2014 tarihine kadar bu oranda seyretmiştir.2012 Aralık ayında 2069 olan bu mükellef sayısı 2014 Ekim ayında 2150 olmuştur. Aksaray özelinde bu mükellef sayısındaki büyüme 2013 Ocak, Eylül ve 2014 Şubat ayılarındaki negatif büyüme haricinde diğer amalar için hep pozitif bir büyüme arz etmiştir.</w:t>
      </w:r>
      <w:r w:rsidR="003B410D">
        <w:t xml:space="preserve"> Türkiye geneli için negatif büyümenin gerçekleşmesi Aksaray iline göre daha sık rastlanan bir durum olarak gözlenirken, 2013 Ocak ayında hem Aksaray hem Türkiye için bu büyüme rakamı negatiftir. Ancak Aksaray için negatif olan bu büyüme rakamları Türkiye açısından pozitif olmuştur. Bu durumu grafikle gösterirsek, Ülke geneli ilimizin her zaman birebir aynı eğilim göstermediğini ancak  genel eğilimin ülke geneli ile tutarlı olduğunu ifade edebiliriz.</w:t>
      </w:r>
    </w:p>
    <w:p w:rsidR="003B410D" w:rsidRDefault="003B410D" w:rsidP="00CB581E">
      <w:pPr>
        <w:spacing w:line="360" w:lineRule="auto"/>
      </w:pPr>
      <w:r w:rsidRPr="003B410D">
        <w:rPr>
          <w:noProof/>
        </w:rPr>
        <w:lastRenderedPageBreak/>
        <w:drawing>
          <wp:inline distT="0" distB="0" distL="0" distR="0">
            <wp:extent cx="5895976" cy="3600451"/>
            <wp:effectExtent l="19050" t="0" r="28574" b="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B410D" w:rsidRDefault="003B410D" w:rsidP="00CB581E">
      <w:pPr>
        <w:spacing w:line="360" w:lineRule="auto"/>
      </w:pPr>
      <w:r>
        <w:t>Ülke genelinin içindeki oransal büyümeye baktığımızda ise bu mükellef sayısındaki değişmeler sebebi ile artma ve azalma şeklinde ardıl bir süreç izlendiğini gözlemlenmekte ve son 3 aylık dönemde ise kesintisiz bir artış söz konusudur.</w:t>
      </w:r>
    </w:p>
    <w:sectPr w:rsidR="003B410D" w:rsidSect="00432DF5">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CA7" w:rsidRDefault="00E82CA7" w:rsidP="00C04441">
      <w:pPr>
        <w:spacing w:after="0" w:line="240" w:lineRule="auto"/>
      </w:pPr>
      <w:r>
        <w:separator/>
      </w:r>
    </w:p>
  </w:endnote>
  <w:endnote w:type="continuationSeparator" w:id="1">
    <w:p w:rsidR="00E82CA7" w:rsidRDefault="00E82CA7" w:rsidP="00C04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CA7" w:rsidRDefault="00E82CA7" w:rsidP="00C04441">
      <w:pPr>
        <w:spacing w:after="0" w:line="240" w:lineRule="auto"/>
      </w:pPr>
      <w:r>
        <w:separator/>
      </w:r>
    </w:p>
  </w:footnote>
  <w:footnote w:type="continuationSeparator" w:id="1">
    <w:p w:rsidR="00E82CA7" w:rsidRDefault="00E82CA7" w:rsidP="00C044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footnotePr>
    <w:footnote w:id="0"/>
    <w:footnote w:id="1"/>
  </w:footnotePr>
  <w:endnotePr>
    <w:endnote w:id="0"/>
    <w:endnote w:id="1"/>
  </w:endnotePr>
  <w:compat/>
  <w:rsids>
    <w:rsidRoot w:val="00D23355"/>
    <w:rsid w:val="000701FD"/>
    <w:rsid w:val="000B7EA9"/>
    <w:rsid w:val="000D18BE"/>
    <w:rsid w:val="001243A0"/>
    <w:rsid w:val="00160C8F"/>
    <w:rsid w:val="001E11A2"/>
    <w:rsid w:val="001E5A63"/>
    <w:rsid w:val="001F7633"/>
    <w:rsid w:val="00231F80"/>
    <w:rsid w:val="00233BD5"/>
    <w:rsid w:val="002B53E4"/>
    <w:rsid w:val="002D3E19"/>
    <w:rsid w:val="00351561"/>
    <w:rsid w:val="00357954"/>
    <w:rsid w:val="003641B3"/>
    <w:rsid w:val="003A57CB"/>
    <w:rsid w:val="003B410D"/>
    <w:rsid w:val="00424CC0"/>
    <w:rsid w:val="00432DF5"/>
    <w:rsid w:val="00517288"/>
    <w:rsid w:val="00522A6C"/>
    <w:rsid w:val="005405F5"/>
    <w:rsid w:val="0056193B"/>
    <w:rsid w:val="00574C38"/>
    <w:rsid w:val="005C53F8"/>
    <w:rsid w:val="006020BD"/>
    <w:rsid w:val="00677B0D"/>
    <w:rsid w:val="006B2D78"/>
    <w:rsid w:val="006D41B5"/>
    <w:rsid w:val="0070186C"/>
    <w:rsid w:val="00731B2B"/>
    <w:rsid w:val="007330A1"/>
    <w:rsid w:val="007441EB"/>
    <w:rsid w:val="007736BE"/>
    <w:rsid w:val="007B58E6"/>
    <w:rsid w:val="00805CFB"/>
    <w:rsid w:val="008A0B48"/>
    <w:rsid w:val="008A575D"/>
    <w:rsid w:val="008C2C15"/>
    <w:rsid w:val="008C7F9E"/>
    <w:rsid w:val="008D1077"/>
    <w:rsid w:val="00907E0D"/>
    <w:rsid w:val="00923FD3"/>
    <w:rsid w:val="00935B34"/>
    <w:rsid w:val="009A6E86"/>
    <w:rsid w:val="009F0A83"/>
    <w:rsid w:val="009F54F1"/>
    <w:rsid w:val="00A331C8"/>
    <w:rsid w:val="00A705F6"/>
    <w:rsid w:val="00A77365"/>
    <w:rsid w:val="00AD0DF3"/>
    <w:rsid w:val="00AD2065"/>
    <w:rsid w:val="00B20C8A"/>
    <w:rsid w:val="00BC294E"/>
    <w:rsid w:val="00BC5F10"/>
    <w:rsid w:val="00BE7929"/>
    <w:rsid w:val="00C04441"/>
    <w:rsid w:val="00C144CC"/>
    <w:rsid w:val="00C21D8B"/>
    <w:rsid w:val="00C27AAD"/>
    <w:rsid w:val="00CB581E"/>
    <w:rsid w:val="00CC7D5F"/>
    <w:rsid w:val="00D2299D"/>
    <w:rsid w:val="00D23355"/>
    <w:rsid w:val="00DB1389"/>
    <w:rsid w:val="00DB7AEA"/>
    <w:rsid w:val="00DC5FDC"/>
    <w:rsid w:val="00DE7934"/>
    <w:rsid w:val="00E82CA7"/>
    <w:rsid w:val="00ED7524"/>
    <w:rsid w:val="00EF4E45"/>
    <w:rsid w:val="00F061D6"/>
    <w:rsid w:val="00F96A4A"/>
    <w:rsid w:val="00FD0F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C0444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4441"/>
    <w:rPr>
      <w:rFonts w:eastAsiaTheme="minorEastAsia"/>
      <w:sz w:val="20"/>
      <w:szCs w:val="20"/>
      <w:lang w:val="tr-TR" w:eastAsia="tr-TR"/>
    </w:rPr>
  </w:style>
  <w:style w:type="character" w:styleId="DipnotBavurusu">
    <w:name w:val="footnote reference"/>
    <w:basedOn w:val="VarsaylanParagrafYazTipi"/>
    <w:uiPriority w:val="99"/>
    <w:semiHidden/>
    <w:unhideWhenUsed/>
    <w:rsid w:val="00C04441"/>
    <w:rPr>
      <w:vertAlign w:val="superscript"/>
    </w:rPr>
  </w:style>
  <w:style w:type="table" w:customStyle="1" w:styleId="AkKlavuz-Vurgu11">
    <w:name w:val="Açık Kılavuz - Vurgu 11"/>
    <w:basedOn w:val="NormalTablo"/>
    <w:uiPriority w:val="62"/>
    <w:rsid w:val="00FD0F6A"/>
    <w:pPr>
      <w:spacing w:after="0" w:line="240" w:lineRule="auto"/>
    </w:pPr>
    <w:rPr>
      <w:rFonts w:eastAsiaTheme="minorEastAsia"/>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749709">
      <w:bodyDiv w:val="1"/>
      <w:marLeft w:val="0"/>
      <w:marRight w:val="0"/>
      <w:marTop w:val="0"/>
      <w:marBottom w:val="0"/>
      <w:divBdr>
        <w:top w:val="none" w:sz="0" w:space="0" w:color="auto"/>
        <w:left w:val="none" w:sz="0" w:space="0" w:color="auto"/>
        <w:bottom w:val="none" w:sz="0" w:space="0" w:color="auto"/>
        <w:right w:val="none" w:sz="0" w:space="0" w:color="auto"/>
      </w:divBdr>
    </w:div>
    <w:div w:id="311375104">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118335004">
      <w:bodyDiv w:val="1"/>
      <w:marLeft w:val="0"/>
      <w:marRight w:val="0"/>
      <w:marTop w:val="0"/>
      <w:marBottom w:val="0"/>
      <w:divBdr>
        <w:top w:val="none" w:sz="0" w:space="0" w:color="auto"/>
        <w:left w:val="none" w:sz="0" w:space="0" w:color="auto"/>
        <w:bottom w:val="none" w:sz="0" w:space="0" w:color="auto"/>
        <w:right w:val="none" w:sz="0" w:space="0" w:color="auto"/>
      </w:divBdr>
    </w:div>
    <w:div w:id="1284731585">
      <w:bodyDiv w:val="1"/>
      <w:marLeft w:val="0"/>
      <w:marRight w:val="0"/>
      <w:marTop w:val="0"/>
      <w:marBottom w:val="0"/>
      <w:divBdr>
        <w:top w:val="none" w:sz="0" w:space="0" w:color="auto"/>
        <w:left w:val="none" w:sz="0" w:space="0" w:color="auto"/>
        <w:bottom w:val="none" w:sz="0" w:space="0" w:color="auto"/>
        <w:right w:val="none" w:sz="0" w:space="0" w:color="auto"/>
      </w:divBdr>
    </w:div>
    <w:div w:id="1289505781">
      <w:bodyDiv w:val="1"/>
      <w:marLeft w:val="0"/>
      <w:marRight w:val="0"/>
      <w:marTop w:val="0"/>
      <w:marBottom w:val="0"/>
      <w:divBdr>
        <w:top w:val="none" w:sz="0" w:space="0" w:color="auto"/>
        <w:left w:val="none" w:sz="0" w:space="0" w:color="auto"/>
        <w:bottom w:val="none" w:sz="0" w:space="0" w:color="auto"/>
        <w:right w:val="none" w:sz="0" w:space="0" w:color="auto"/>
      </w:divBdr>
    </w:div>
    <w:div w:id="1328702739">
      <w:bodyDiv w:val="1"/>
      <w:marLeft w:val="0"/>
      <w:marRight w:val="0"/>
      <w:marTop w:val="0"/>
      <w:marBottom w:val="0"/>
      <w:divBdr>
        <w:top w:val="none" w:sz="0" w:space="0" w:color="auto"/>
        <w:left w:val="none" w:sz="0" w:space="0" w:color="auto"/>
        <w:bottom w:val="none" w:sz="0" w:space="0" w:color="auto"/>
        <w:right w:val="none" w:sz="0" w:space="0" w:color="auto"/>
      </w:divBdr>
    </w:div>
    <w:div w:id="1560558544">
      <w:bodyDiv w:val="1"/>
      <w:marLeft w:val="0"/>
      <w:marRight w:val="0"/>
      <w:marTop w:val="0"/>
      <w:marBottom w:val="0"/>
      <w:divBdr>
        <w:top w:val="none" w:sz="0" w:space="0" w:color="auto"/>
        <w:left w:val="none" w:sz="0" w:space="0" w:color="auto"/>
        <w:bottom w:val="none" w:sz="0" w:space="0" w:color="auto"/>
        <w:right w:val="none" w:sz="0" w:space="0" w:color="auto"/>
      </w:divBdr>
    </w:div>
    <w:div w:id="1605382836">
      <w:bodyDiv w:val="1"/>
      <w:marLeft w:val="0"/>
      <w:marRight w:val="0"/>
      <w:marTop w:val="0"/>
      <w:marBottom w:val="0"/>
      <w:divBdr>
        <w:top w:val="none" w:sz="0" w:space="0" w:color="auto"/>
        <w:left w:val="none" w:sz="0" w:space="0" w:color="auto"/>
        <w:bottom w:val="none" w:sz="0" w:space="0" w:color="auto"/>
        <w:right w:val="none" w:sz="0" w:space="0" w:color="auto"/>
      </w:divBdr>
    </w:div>
    <w:div w:id="1691488472">
      <w:bodyDiv w:val="1"/>
      <w:marLeft w:val="0"/>
      <w:marRight w:val="0"/>
      <w:marTop w:val="0"/>
      <w:marBottom w:val="0"/>
      <w:divBdr>
        <w:top w:val="none" w:sz="0" w:space="0" w:color="auto"/>
        <w:left w:val="none" w:sz="0" w:space="0" w:color="auto"/>
        <w:bottom w:val="none" w:sz="0" w:space="0" w:color="auto"/>
        <w:right w:val="none" w:sz="0" w:space="0" w:color="auto"/>
      </w:divBdr>
    </w:div>
    <w:div w:id="192888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R10\Desktop\KURUMLAR%20VERG&#304;S&#304;%20FAAL%20M&#220;KELLEF%20SAYILARININ%20&#304;LLERE%20G&#214;RE%20DA&#286;ILIM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R10\Desktop\KURUMLAR%20VERG&#304;S&#304;%20FAAL%20M&#220;KELLEF%20SAYILARININ%20&#304;LLERE%20G&#214;RE%20DA&#286;ILIM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shibaR10\Desktop\KURUMLAR%20VERG&#304;S&#304;%20FAAL%20M&#220;KELLEF%20SAYILARININ%20&#304;LLERE%20G&#214;RE%20DA&#286;ILIM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c\Desktop\ATO_ATB\Ekim%202014\KURUMLAR%20VERG&#304;S&#304;%20FAAL%20M&#220;KELLEF%20SAYILARININ%20&#304;LLERE%20G&#214;RE%20DA&#286;ILIM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0.13220568359187687"/>
          <c:y val="3.9024736055902981E-2"/>
          <c:w val="0.86779431640812577"/>
          <c:h val="0.75992708306960099"/>
        </c:manualLayout>
      </c:layout>
      <c:lineChart>
        <c:grouping val="standard"/>
        <c:ser>
          <c:idx val="0"/>
          <c:order val="0"/>
          <c:marker>
            <c:symbol val="diamond"/>
            <c:size val="7"/>
          </c:marker>
          <c:cat>
            <c:numRef>
              <c:f>Sayfa2!$M$1:$Y$1</c:f>
              <c:numCache>
                <c:formatCode>mmm/yy</c:formatCode>
                <c:ptCount val="13"/>
                <c:pt idx="0">
                  <c:v>41548</c:v>
                </c:pt>
                <c:pt idx="1">
                  <c:v>41579</c:v>
                </c:pt>
                <c:pt idx="2">
                  <c:v>41609</c:v>
                </c:pt>
                <c:pt idx="3">
                  <c:v>41640</c:v>
                </c:pt>
                <c:pt idx="4">
                  <c:v>41671</c:v>
                </c:pt>
                <c:pt idx="5">
                  <c:v>41699</c:v>
                </c:pt>
                <c:pt idx="6">
                  <c:v>41730</c:v>
                </c:pt>
                <c:pt idx="7">
                  <c:v>41760</c:v>
                </c:pt>
                <c:pt idx="8">
                  <c:v>41791</c:v>
                </c:pt>
                <c:pt idx="9">
                  <c:v>41821</c:v>
                </c:pt>
                <c:pt idx="10">
                  <c:v>41852</c:v>
                </c:pt>
                <c:pt idx="11">
                  <c:v>41883</c:v>
                </c:pt>
                <c:pt idx="12">
                  <c:v>41913</c:v>
                </c:pt>
              </c:numCache>
            </c:numRef>
          </c:cat>
          <c:val>
            <c:numRef>
              <c:f>Sayfa2!$M$2:$Y$2</c:f>
              <c:numCache>
                <c:formatCode>#,##0</c:formatCode>
                <c:ptCount val="13"/>
                <c:pt idx="0">
                  <c:v>662380</c:v>
                </c:pt>
                <c:pt idx="1">
                  <c:v>662909</c:v>
                </c:pt>
                <c:pt idx="2">
                  <c:v>662225</c:v>
                </c:pt>
                <c:pt idx="3">
                  <c:v>662341</c:v>
                </c:pt>
                <c:pt idx="4">
                  <c:v>663429</c:v>
                </c:pt>
                <c:pt idx="5">
                  <c:v>665107</c:v>
                </c:pt>
                <c:pt idx="6">
                  <c:v>667021</c:v>
                </c:pt>
                <c:pt idx="7">
                  <c:v>668980</c:v>
                </c:pt>
                <c:pt idx="8">
                  <c:v>669310</c:v>
                </c:pt>
                <c:pt idx="9">
                  <c:v>669801</c:v>
                </c:pt>
                <c:pt idx="10">
                  <c:v>670980</c:v>
                </c:pt>
                <c:pt idx="11">
                  <c:v>672461</c:v>
                </c:pt>
                <c:pt idx="12">
                  <c:v>673423</c:v>
                </c:pt>
              </c:numCache>
            </c:numRef>
          </c:val>
        </c:ser>
        <c:marker val="1"/>
        <c:axId val="85580416"/>
        <c:axId val="85725568"/>
      </c:lineChart>
      <c:dateAx>
        <c:axId val="85580416"/>
        <c:scaling>
          <c:orientation val="minMax"/>
        </c:scaling>
        <c:axPos val="b"/>
        <c:numFmt formatCode="mmm/yy" sourceLinked="1"/>
        <c:tickLblPos val="nextTo"/>
        <c:txPr>
          <a:bodyPr/>
          <a:lstStyle/>
          <a:p>
            <a:pPr>
              <a:defRPr sz="1050"/>
            </a:pPr>
            <a:endParaRPr lang="tr-TR"/>
          </a:p>
        </c:txPr>
        <c:crossAx val="85725568"/>
        <c:crosses val="autoZero"/>
        <c:auto val="1"/>
        <c:lblOffset val="100"/>
      </c:dateAx>
      <c:valAx>
        <c:axId val="85725568"/>
        <c:scaling>
          <c:orientation val="minMax"/>
        </c:scaling>
        <c:axPos val="l"/>
        <c:majorGridlines/>
        <c:numFmt formatCode="#,##0" sourceLinked="1"/>
        <c:tickLblPos val="nextTo"/>
        <c:crossAx val="85580416"/>
        <c:crosses val="autoZero"/>
        <c:crossBetween val="between"/>
      </c:valAx>
      <c:spPr>
        <a:solidFill>
          <a:schemeClr val="bg2"/>
        </a:solidFill>
      </c:spPr>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bar"/>
        <c:grouping val="clustered"/>
        <c:ser>
          <c:idx val="0"/>
          <c:order val="0"/>
          <c:spPr>
            <a:ln>
              <a:solidFill>
                <a:sysClr val="windowText" lastClr="000000"/>
              </a:solidFill>
            </a:ln>
          </c:spPr>
          <c:dLbls>
            <c:showVal val="1"/>
          </c:dLbls>
          <c:cat>
            <c:strRef>
              <c:f>Sayfa4!$B$1:$B$10</c:f>
              <c:strCache>
                <c:ptCount val="10"/>
                <c:pt idx="0">
                  <c:v>GAZİANTEP</c:v>
                </c:pt>
                <c:pt idx="1">
                  <c:v>İÇEL</c:v>
                </c:pt>
                <c:pt idx="2">
                  <c:v>ADANA</c:v>
                </c:pt>
                <c:pt idx="3">
                  <c:v>KONYA</c:v>
                </c:pt>
                <c:pt idx="4">
                  <c:v>KOCAELİ</c:v>
                </c:pt>
                <c:pt idx="5">
                  <c:v>BURSA</c:v>
                </c:pt>
                <c:pt idx="6">
                  <c:v>ANTALYA</c:v>
                </c:pt>
                <c:pt idx="7">
                  <c:v>İZMİR</c:v>
                </c:pt>
                <c:pt idx="8">
                  <c:v>ANKARA</c:v>
                </c:pt>
                <c:pt idx="9">
                  <c:v>İSTANBUL</c:v>
                </c:pt>
              </c:strCache>
            </c:strRef>
          </c:cat>
          <c:val>
            <c:numRef>
              <c:f>Sayfa4!$C$1:$C$10</c:f>
              <c:numCache>
                <c:formatCode>#,##0</c:formatCode>
                <c:ptCount val="10"/>
                <c:pt idx="0">
                  <c:v>10509</c:v>
                </c:pt>
                <c:pt idx="1">
                  <c:v>11739</c:v>
                </c:pt>
                <c:pt idx="2">
                  <c:v>12484</c:v>
                </c:pt>
                <c:pt idx="3">
                  <c:v>14658</c:v>
                </c:pt>
                <c:pt idx="4">
                  <c:v>15938</c:v>
                </c:pt>
                <c:pt idx="5">
                  <c:v>23992</c:v>
                </c:pt>
                <c:pt idx="6">
                  <c:v>25510</c:v>
                </c:pt>
                <c:pt idx="7">
                  <c:v>43586</c:v>
                </c:pt>
                <c:pt idx="8">
                  <c:v>74595</c:v>
                </c:pt>
                <c:pt idx="9">
                  <c:v>249957</c:v>
                </c:pt>
              </c:numCache>
            </c:numRef>
          </c:val>
        </c:ser>
        <c:dLbls>
          <c:showVal val="1"/>
        </c:dLbls>
        <c:axId val="86538112"/>
        <c:axId val="86539648"/>
      </c:barChart>
      <c:catAx>
        <c:axId val="86538112"/>
        <c:scaling>
          <c:orientation val="minMax"/>
        </c:scaling>
        <c:axPos val="l"/>
        <c:tickLblPos val="nextTo"/>
        <c:crossAx val="86539648"/>
        <c:crosses val="autoZero"/>
        <c:auto val="1"/>
        <c:lblAlgn val="ctr"/>
        <c:lblOffset val="100"/>
      </c:catAx>
      <c:valAx>
        <c:axId val="86539648"/>
        <c:scaling>
          <c:orientation val="minMax"/>
        </c:scaling>
        <c:delete val="1"/>
        <c:axPos val="b"/>
        <c:numFmt formatCode="#,##0" sourceLinked="1"/>
        <c:tickLblPos val="none"/>
        <c:crossAx val="86538112"/>
        <c:crosses val="autoZero"/>
        <c:crossBetween val="between"/>
      </c:valAx>
      <c:spPr>
        <a:solidFill>
          <a:schemeClr val="bg2"/>
        </a:solidFill>
        <a:ln>
          <a:solidFill>
            <a:sysClr val="windowText" lastClr="000000"/>
          </a:solidFill>
        </a:ln>
      </c:spPr>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bar"/>
        <c:grouping val="clustered"/>
        <c:ser>
          <c:idx val="0"/>
          <c:order val="0"/>
          <c:spPr>
            <a:ln>
              <a:solidFill>
                <a:sysClr val="windowText" lastClr="000000"/>
              </a:solidFill>
            </a:ln>
          </c:spPr>
          <c:dLbls>
            <c:showVal val="1"/>
          </c:dLbls>
          <c:cat>
            <c:strRef>
              <c:f>Sayfa4!$J$1:$J$10</c:f>
              <c:strCache>
                <c:ptCount val="10"/>
                <c:pt idx="0">
                  <c:v>HAKKARİ</c:v>
                </c:pt>
                <c:pt idx="1">
                  <c:v>SİİRT</c:v>
                </c:pt>
                <c:pt idx="2">
                  <c:v>KARS</c:v>
                </c:pt>
                <c:pt idx="3">
                  <c:v>ÇANKIRI</c:v>
                </c:pt>
                <c:pt idx="4">
                  <c:v>BARTIN</c:v>
                </c:pt>
                <c:pt idx="5">
                  <c:v>GÜMÜŞHANE</c:v>
                </c:pt>
                <c:pt idx="6">
                  <c:v>KİLİS</c:v>
                </c:pt>
                <c:pt idx="7">
                  <c:v>TUNCELİ</c:v>
                </c:pt>
                <c:pt idx="8">
                  <c:v>BAYBURT</c:v>
                </c:pt>
                <c:pt idx="9">
                  <c:v>ARDAHAN</c:v>
                </c:pt>
              </c:strCache>
            </c:strRef>
          </c:cat>
          <c:val>
            <c:numRef>
              <c:f>Sayfa4!$K$1:$K$10</c:f>
              <c:numCache>
                <c:formatCode>General</c:formatCode>
                <c:ptCount val="10"/>
                <c:pt idx="0">
                  <c:v>761</c:v>
                </c:pt>
                <c:pt idx="1">
                  <c:v>712</c:v>
                </c:pt>
                <c:pt idx="2">
                  <c:v>711</c:v>
                </c:pt>
                <c:pt idx="3">
                  <c:v>649</c:v>
                </c:pt>
                <c:pt idx="4">
                  <c:v>648</c:v>
                </c:pt>
                <c:pt idx="5">
                  <c:v>478</c:v>
                </c:pt>
                <c:pt idx="6">
                  <c:v>433</c:v>
                </c:pt>
                <c:pt idx="7">
                  <c:v>256</c:v>
                </c:pt>
                <c:pt idx="8">
                  <c:v>249</c:v>
                </c:pt>
                <c:pt idx="9">
                  <c:v>221</c:v>
                </c:pt>
              </c:numCache>
            </c:numRef>
          </c:val>
        </c:ser>
        <c:dLbls>
          <c:showVal val="1"/>
        </c:dLbls>
        <c:axId val="86952960"/>
        <c:axId val="86959616"/>
      </c:barChart>
      <c:catAx>
        <c:axId val="86952960"/>
        <c:scaling>
          <c:orientation val="minMax"/>
        </c:scaling>
        <c:axPos val="l"/>
        <c:tickLblPos val="nextTo"/>
        <c:crossAx val="86959616"/>
        <c:crosses val="autoZero"/>
        <c:auto val="1"/>
        <c:lblAlgn val="ctr"/>
        <c:lblOffset val="100"/>
      </c:catAx>
      <c:valAx>
        <c:axId val="86959616"/>
        <c:scaling>
          <c:orientation val="minMax"/>
        </c:scaling>
        <c:delete val="1"/>
        <c:axPos val="b"/>
        <c:numFmt formatCode="General" sourceLinked="1"/>
        <c:tickLblPos val="none"/>
        <c:crossAx val="86952960"/>
        <c:crosses val="autoZero"/>
        <c:crossBetween val="between"/>
      </c:valAx>
      <c:spPr>
        <a:solidFill>
          <a:schemeClr val="bg2"/>
        </a:solidFill>
        <a:ln>
          <a:solidFill>
            <a:sysClr val="windowText" lastClr="000000"/>
          </a:solidFill>
        </a:ln>
      </c:spPr>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title/>
    <c:plotArea>
      <c:layout>
        <c:manualLayout>
          <c:layoutTarget val="inner"/>
          <c:xMode val="edge"/>
          <c:yMode val="edge"/>
          <c:x val="0.16182725830019892"/>
          <c:y val="0.14842168383905241"/>
          <c:w val="0.72828683207352563"/>
          <c:h val="0.74150766112356481"/>
        </c:manualLayout>
      </c:layout>
      <c:lineChart>
        <c:grouping val="percentStacked"/>
        <c:ser>
          <c:idx val="0"/>
          <c:order val="0"/>
          <c:tx>
            <c:strRef>
              <c:f>Sayfa3!$D$2</c:f>
              <c:strCache>
                <c:ptCount val="1"/>
                <c:pt idx="0">
                  <c:v>Aksaray/Türkiye Oranı</c:v>
                </c:pt>
              </c:strCache>
            </c:strRef>
          </c:tx>
          <c:marker>
            <c:symbol val="none"/>
          </c:marker>
          <c:cat>
            <c:numRef>
              <c:f>Sayfa3!$A$3:$A$25</c:f>
              <c:numCache>
                <c:formatCode>mmm/yy</c:formatCode>
                <c:ptCount val="23"/>
                <c:pt idx="0">
                  <c:v>41244</c:v>
                </c:pt>
                <c:pt idx="1">
                  <c:v>41275</c:v>
                </c:pt>
                <c:pt idx="2">
                  <c:v>41306</c:v>
                </c:pt>
                <c:pt idx="3">
                  <c:v>41334</c:v>
                </c:pt>
                <c:pt idx="4">
                  <c:v>41365</c:v>
                </c:pt>
                <c:pt idx="5">
                  <c:v>41395</c:v>
                </c:pt>
                <c:pt idx="6">
                  <c:v>41426</c:v>
                </c:pt>
                <c:pt idx="7">
                  <c:v>41456</c:v>
                </c:pt>
                <c:pt idx="8">
                  <c:v>41487</c:v>
                </c:pt>
                <c:pt idx="9">
                  <c:v>41518</c:v>
                </c:pt>
                <c:pt idx="10">
                  <c:v>41548</c:v>
                </c:pt>
                <c:pt idx="11">
                  <c:v>41579</c:v>
                </c:pt>
                <c:pt idx="12">
                  <c:v>41609</c:v>
                </c:pt>
                <c:pt idx="13">
                  <c:v>41640</c:v>
                </c:pt>
                <c:pt idx="14">
                  <c:v>41671</c:v>
                </c:pt>
                <c:pt idx="15">
                  <c:v>41699</c:v>
                </c:pt>
                <c:pt idx="16">
                  <c:v>41730</c:v>
                </c:pt>
                <c:pt idx="17">
                  <c:v>41760</c:v>
                </c:pt>
                <c:pt idx="18">
                  <c:v>41791</c:v>
                </c:pt>
                <c:pt idx="19">
                  <c:v>41821</c:v>
                </c:pt>
                <c:pt idx="20">
                  <c:v>41852</c:v>
                </c:pt>
                <c:pt idx="21">
                  <c:v>41883</c:v>
                </c:pt>
                <c:pt idx="22">
                  <c:v>41913</c:v>
                </c:pt>
              </c:numCache>
            </c:numRef>
          </c:cat>
          <c:val>
            <c:numRef>
              <c:f>Sayfa3!$D$3:$D$25</c:f>
              <c:numCache>
                <c:formatCode>0.00</c:formatCode>
                <c:ptCount val="23"/>
                <c:pt idx="0">
                  <c:v>0.31244808891707843</c:v>
                </c:pt>
                <c:pt idx="1">
                  <c:v>0.3119780193178246</c:v>
                </c:pt>
                <c:pt idx="2">
                  <c:v>0.31266268750681042</c:v>
                </c:pt>
                <c:pt idx="3">
                  <c:v>0.3131512949086051</c:v>
                </c:pt>
                <c:pt idx="4">
                  <c:v>0.31488052706155945</c:v>
                </c:pt>
                <c:pt idx="5">
                  <c:v>0.31461095632655423</c:v>
                </c:pt>
                <c:pt idx="6">
                  <c:v>0.31597510279390917</c:v>
                </c:pt>
                <c:pt idx="7">
                  <c:v>0.31637827666714002</c:v>
                </c:pt>
                <c:pt idx="8">
                  <c:v>0.31593932758459486</c:v>
                </c:pt>
                <c:pt idx="9">
                  <c:v>0.31513697381092698</c:v>
                </c:pt>
                <c:pt idx="10">
                  <c:v>0.31643467495999306</c:v>
                </c:pt>
                <c:pt idx="11">
                  <c:v>0.31633301101659506</c:v>
                </c:pt>
                <c:pt idx="12">
                  <c:v>0.31756578202272662</c:v>
                </c:pt>
                <c:pt idx="13">
                  <c:v>0.31826506286036965</c:v>
                </c:pt>
                <c:pt idx="14">
                  <c:v>0.3163865311887184</c:v>
                </c:pt>
                <c:pt idx="15">
                  <c:v>0.31679113285531485</c:v>
                </c:pt>
                <c:pt idx="16">
                  <c:v>0.31648178992865345</c:v>
                </c:pt>
                <c:pt idx="17">
                  <c:v>0.31734879966516216</c:v>
                </c:pt>
                <c:pt idx="18">
                  <c:v>0.31764055519863738</c:v>
                </c:pt>
                <c:pt idx="19">
                  <c:v>0.31934858263872423</c:v>
                </c:pt>
                <c:pt idx="20">
                  <c:v>0.31953262392321696</c:v>
                </c:pt>
                <c:pt idx="21">
                  <c:v>0.31957243617101971</c:v>
                </c:pt>
                <c:pt idx="22">
                  <c:v>0.31926441478832768</c:v>
                </c:pt>
              </c:numCache>
            </c:numRef>
          </c:val>
        </c:ser>
        <c:ser>
          <c:idx val="1"/>
          <c:order val="1"/>
          <c:tx>
            <c:strRef>
              <c:f>Sayfa3!$E$2</c:f>
              <c:strCache>
                <c:ptCount val="1"/>
                <c:pt idx="0">
                  <c:v>Aksaray Büyüme</c:v>
                </c:pt>
              </c:strCache>
            </c:strRef>
          </c:tx>
          <c:marker>
            <c:symbol val="none"/>
          </c:marker>
          <c:cat>
            <c:numRef>
              <c:f>Sayfa3!$A$3:$A$25</c:f>
              <c:numCache>
                <c:formatCode>mmm/yy</c:formatCode>
                <c:ptCount val="23"/>
                <c:pt idx="0">
                  <c:v>41244</c:v>
                </c:pt>
                <c:pt idx="1">
                  <c:v>41275</c:v>
                </c:pt>
                <c:pt idx="2">
                  <c:v>41306</c:v>
                </c:pt>
                <c:pt idx="3">
                  <c:v>41334</c:v>
                </c:pt>
                <c:pt idx="4">
                  <c:v>41365</c:v>
                </c:pt>
                <c:pt idx="5">
                  <c:v>41395</c:v>
                </c:pt>
                <c:pt idx="6">
                  <c:v>41426</c:v>
                </c:pt>
                <c:pt idx="7">
                  <c:v>41456</c:v>
                </c:pt>
                <c:pt idx="8">
                  <c:v>41487</c:v>
                </c:pt>
                <c:pt idx="9">
                  <c:v>41518</c:v>
                </c:pt>
                <c:pt idx="10">
                  <c:v>41548</c:v>
                </c:pt>
                <c:pt idx="11">
                  <c:v>41579</c:v>
                </c:pt>
                <c:pt idx="12">
                  <c:v>41609</c:v>
                </c:pt>
                <c:pt idx="13">
                  <c:v>41640</c:v>
                </c:pt>
                <c:pt idx="14">
                  <c:v>41671</c:v>
                </c:pt>
                <c:pt idx="15">
                  <c:v>41699</c:v>
                </c:pt>
                <c:pt idx="16">
                  <c:v>41730</c:v>
                </c:pt>
                <c:pt idx="17">
                  <c:v>41760</c:v>
                </c:pt>
                <c:pt idx="18">
                  <c:v>41791</c:v>
                </c:pt>
                <c:pt idx="19">
                  <c:v>41821</c:v>
                </c:pt>
                <c:pt idx="20">
                  <c:v>41852</c:v>
                </c:pt>
                <c:pt idx="21">
                  <c:v>41883</c:v>
                </c:pt>
                <c:pt idx="22">
                  <c:v>41913</c:v>
                </c:pt>
              </c:numCache>
            </c:numRef>
          </c:cat>
          <c:val>
            <c:numRef>
              <c:f>Sayfa3!$E$4:$E$25</c:f>
              <c:numCache>
                <c:formatCode>0.00</c:formatCode>
                <c:ptCount val="22"/>
                <c:pt idx="0">
                  <c:v>-0.33832769453842465</c:v>
                </c:pt>
                <c:pt idx="1">
                  <c:v>0.19398642095053345</c:v>
                </c:pt>
                <c:pt idx="2">
                  <c:v>0.14520813165537286</c:v>
                </c:pt>
                <c:pt idx="3">
                  <c:v>0.53165780570323828</c:v>
                </c:pt>
                <c:pt idx="4">
                  <c:v>0</c:v>
                </c:pt>
                <c:pt idx="5">
                  <c:v>0.52884615384615352</c:v>
                </c:pt>
                <c:pt idx="6">
                  <c:v>0.19129603060736503</c:v>
                </c:pt>
                <c:pt idx="7">
                  <c:v>0</c:v>
                </c:pt>
                <c:pt idx="8">
                  <c:v>-0.19093078758949894</c:v>
                </c:pt>
                <c:pt idx="9">
                  <c:v>0.23912003825920611</c:v>
                </c:pt>
                <c:pt idx="10">
                  <c:v>4.7709923664122154E-2</c:v>
                </c:pt>
                <c:pt idx="11">
                  <c:v>0.28612303290414881</c:v>
                </c:pt>
                <c:pt idx="12">
                  <c:v>0.23775558725630061</c:v>
                </c:pt>
                <c:pt idx="13">
                  <c:v>-0.42694497153700223</c:v>
                </c:pt>
                <c:pt idx="14">
                  <c:v>0.38113387327298742</c:v>
                </c:pt>
                <c:pt idx="15">
                  <c:v>0.18984337921215005</c:v>
                </c:pt>
                <c:pt idx="16">
                  <c:v>0.56845097110374232</c:v>
                </c:pt>
                <c:pt idx="17">
                  <c:v>0.14130946773433828</c:v>
                </c:pt>
                <c:pt idx="18">
                  <c:v>0.61147695202257801</c:v>
                </c:pt>
                <c:pt idx="19">
                  <c:v>0.2337540906965872</c:v>
                </c:pt>
                <c:pt idx="20">
                  <c:v>0.2332089552238806</c:v>
                </c:pt>
                <c:pt idx="21">
                  <c:v>4.6533271288971639E-2</c:v>
                </c:pt>
              </c:numCache>
            </c:numRef>
          </c:val>
        </c:ser>
        <c:ser>
          <c:idx val="2"/>
          <c:order val="2"/>
          <c:tx>
            <c:strRef>
              <c:f>Sayfa3!$F$2</c:f>
              <c:strCache>
                <c:ptCount val="1"/>
                <c:pt idx="0">
                  <c:v>Türkiye Büyüme</c:v>
                </c:pt>
              </c:strCache>
            </c:strRef>
          </c:tx>
          <c:marker>
            <c:symbol val="none"/>
          </c:marker>
          <c:cat>
            <c:numRef>
              <c:f>Sayfa3!$A$3:$A$25</c:f>
              <c:numCache>
                <c:formatCode>mmm/yy</c:formatCode>
                <c:ptCount val="23"/>
                <c:pt idx="0">
                  <c:v>41244</c:v>
                </c:pt>
                <c:pt idx="1">
                  <c:v>41275</c:v>
                </c:pt>
                <c:pt idx="2">
                  <c:v>41306</c:v>
                </c:pt>
                <c:pt idx="3">
                  <c:v>41334</c:v>
                </c:pt>
                <c:pt idx="4">
                  <c:v>41365</c:v>
                </c:pt>
                <c:pt idx="5">
                  <c:v>41395</c:v>
                </c:pt>
                <c:pt idx="6">
                  <c:v>41426</c:v>
                </c:pt>
                <c:pt idx="7">
                  <c:v>41456</c:v>
                </c:pt>
                <c:pt idx="8">
                  <c:v>41487</c:v>
                </c:pt>
                <c:pt idx="9">
                  <c:v>41518</c:v>
                </c:pt>
                <c:pt idx="10">
                  <c:v>41548</c:v>
                </c:pt>
                <c:pt idx="11">
                  <c:v>41579</c:v>
                </c:pt>
                <c:pt idx="12">
                  <c:v>41609</c:v>
                </c:pt>
                <c:pt idx="13">
                  <c:v>41640</c:v>
                </c:pt>
                <c:pt idx="14">
                  <c:v>41671</c:v>
                </c:pt>
                <c:pt idx="15">
                  <c:v>41699</c:v>
                </c:pt>
                <c:pt idx="16">
                  <c:v>41730</c:v>
                </c:pt>
                <c:pt idx="17">
                  <c:v>41760</c:v>
                </c:pt>
                <c:pt idx="18">
                  <c:v>41791</c:v>
                </c:pt>
                <c:pt idx="19">
                  <c:v>41821</c:v>
                </c:pt>
                <c:pt idx="20">
                  <c:v>41852</c:v>
                </c:pt>
                <c:pt idx="21">
                  <c:v>41883</c:v>
                </c:pt>
                <c:pt idx="22">
                  <c:v>41913</c:v>
                </c:pt>
              </c:numCache>
            </c:numRef>
          </c:cat>
          <c:val>
            <c:numRef>
              <c:f>Sayfa3!$F$4:$F$25</c:f>
              <c:numCache>
                <c:formatCode>0.00</c:formatCode>
                <c:ptCount val="22"/>
                <c:pt idx="0">
                  <c:v>-0.1881635180235279</c:v>
                </c:pt>
                <c:pt idx="1">
                  <c:v>-2.5418189740734464E-2</c:v>
                </c:pt>
                <c:pt idx="2">
                  <c:v>-1.1047616741528142E-2</c:v>
                </c:pt>
                <c:pt idx="3">
                  <c:v>-2.0432781446429051E-2</c:v>
                </c:pt>
                <c:pt idx="4">
                  <c:v>8.5683835729251201E-2</c:v>
                </c:pt>
                <c:pt idx="5">
                  <c:v>9.4837052700360372E-2</c:v>
                </c:pt>
                <c:pt idx="6">
                  <c:v>6.3618134039328436E-2</c:v>
                </c:pt>
                <c:pt idx="7">
                  <c:v>0.13893461314261041</c:v>
                </c:pt>
                <c:pt idx="8">
                  <c:v>6.3187865516918962E-2</c:v>
                </c:pt>
                <c:pt idx="9">
                  <c:v>-0.17196139986526443</c:v>
                </c:pt>
                <c:pt idx="10">
                  <c:v>7.986352244934937E-2</c:v>
                </c:pt>
                <c:pt idx="11">
                  <c:v>-0.10318158299253746</c:v>
                </c:pt>
                <c:pt idx="12">
                  <c:v>1.7516705047378161E-2</c:v>
                </c:pt>
                <c:pt idx="13">
                  <c:v>0.16426583889567473</c:v>
                </c:pt>
                <c:pt idx="14">
                  <c:v>0.25292834651484952</c:v>
                </c:pt>
                <c:pt idx="15">
                  <c:v>0.28777324550786582</c:v>
                </c:pt>
                <c:pt idx="16">
                  <c:v>0.29369390169125126</c:v>
                </c:pt>
                <c:pt idx="17">
                  <c:v>4.9328828963496697E-2</c:v>
                </c:pt>
                <c:pt idx="18">
                  <c:v>7.3359131045404979E-2</c:v>
                </c:pt>
                <c:pt idx="19">
                  <c:v>0.1760224305428032</c:v>
                </c:pt>
                <c:pt idx="20">
                  <c:v>0.22072192911860256</c:v>
                </c:pt>
                <c:pt idx="21">
                  <c:v>0.14305662335808317</c:v>
                </c:pt>
              </c:numCache>
            </c:numRef>
          </c:val>
        </c:ser>
        <c:hiLowLines/>
        <c:marker val="1"/>
        <c:axId val="95348224"/>
        <c:axId val="95358976"/>
      </c:lineChart>
      <c:dateAx>
        <c:axId val="95348224"/>
        <c:scaling>
          <c:orientation val="minMax"/>
        </c:scaling>
        <c:axPos val="b"/>
        <c:title/>
        <c:numFmt formatCode="mmm/yy" sourceLinked="1"/>
        <c:majorTickMark val="none"/>
        <c:tickLblPos val="nextTo"/>
        <c:crossAx val="95358976"/>
        <c:crosses val="autoZero"/>
        <c:auto val="1"/>
        <c:lblOffset val="100"/>
      </c:dateAx>
      <c:valAx>
        <c:axId val="95358976"/>
        <c:scaling>
          <c:orientation val="minMax"/>
        </c:scaling>
        <c:axPos val="l"/>
        <c:majorGridlines/>
        <c:title/>
        <c:numFmt formatCode="0%" sourceLinked="1"/>
        <c:tickLblPos val="nextTo"/>
        <c:crossAx val="95348224"/>
        <c:crosses val="autoZero"/>
        <c:crossBetween val="between"/>
      </c:valAx>
    </c:plotArea>
    <c:legend>
      <c:legendPos val="r"/>
      <c:layout>
        <c:manualLayout>
          <c:xMode val="edge"/>
          <c:yMode val="edge"/>
          <c:x val="1.3819577735124705E-2"/>
          <c:y val="0.94968324801531812"/>
          <c:w val="0.98362124120281513"/>
          <c:h val="4.8389215684368415E-2"/>
        </c:manualLayout>
      </c:layout>
    </c:legend>
    <c:plotVisOnly val="1"/>
  </c:chart>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FBBD4-D1AF-4A69-BDF6-1105BAB4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484</Words>
  <Characters>2759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2</cp:revision>
  <dcterms:created xsi:type="dcterms:W3CDTF">2014-11-15T20:43:00Z</dcterms:created>
  <dcterms:modified xsi:type="dcterms:W3CDTF">2014-11-15T20:43:00Z</dcterms:modified>
</cp:coreProperties>
</file>