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0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2"/>
        <w:gridCol w:w="935"/>
        <w:gridCol w:w="1560"/>
        <w:gridCol w:w="992"/>
        <w:gridCol w:w="1559"/>
        <w:gridCol w:w="992"/>
        <w:gridCol w:w="1418"/>
        <w:gridCol w:w="992"/>
        <w:gridCol w:w="1701"/>
        <w:gridCol w:w="1559"/>
        <w:gridCol w:w="1843"/>
      </w:tblGrid>
      <w:tr w:rsidR="006D2FA8" w:rsidRPr="006D2FA8" w:rsidTr="006D2FA8">
        <w:trPr>
          <w:trHeight w:val="255"/>
        </w:trPr>
        <w:tc>
          <w:tcPr>
            <w:tcW w:w="14903" w:type="dxa"/>
            <w:gridSpan w:val="11"/>
            <w:shd w:val="clear" w:color="auto" w:fill="auto"/>
            <w:noWrap/>
            <w:vAlign w:val="bottom"/>
            <w:hideMark/>
          </w:tcPr>
          <w:p w:rsidR="006D2FA8" w:rsidRPr="006D2FA8" w:rsidRDefault="006D2FA8" w:rsidP="006D2FA8">
            <w:pPr>
              <w:spacing w:after="0" w:line="240" w:lineRule="auto"/>
              <w:jc w:val="center"/>
              <w:rPr>
                <w:rFonts w:ascii="Arial" w:eastAsia="Times New Roman" w:hAnsi="Arial" w:cs="Arial"/>
                <w:sz w:val="20"/>
                <w:szCs w:val="20"/>
                <w:lang w:eastAsia="tr-TR"/>
              </w:rPr>
            </w:pPr>
            <w:r w:rsidRPr="006D2FA8">
              <w:rPr>
                <w:rFonts w:ascii="Arial" w:eastAsia="Times New Roman" w:hAnsi="Arial" w:cs="Arial"/>
                <w:sz w:val="20"/>
                <w:szCs w:val="20"/>
                <w:lang w:eastAsia="tr-TR"/>
              </w:rPr>
              <w:t>Ana-Harcama Gruplarına Göre Tüketici Fiyat Endeksi ve Değişim Oranları (2003=100)</w:t>
            </w:r>
          </w:p>
        </w:tc>
      </w:tr>
      <w:tr w:rsidR="006D2FA8" w:rsidRPr="006D2FA8" w:rsidTr="005A122E">
        <w:trPr>
          <w:trHeight w:val="255"/>
        </w:trPr>
        <w:tc>
          <w:tcPr>
            <w:tcW w:w="135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Harcama Grubu</w:t>
            </w:r>
          </w:p>
        </w:tc>
        <w:tc>
          <w:tcPr>
            <w:tcW w:w="2495" w:type="dxa"/>
            <w:gridSpan w:val="2"/>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Eki.13</w:t>
            </w:r>
          </w:p>
        </w:tc>
        <w:tc>
          <w:tcPr>
            <w:tcW w:w="2551" w:type="dxa"/>
            <w:gridSpan w:val="2"/>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Eyl.14</w:t>
            </w:r>
          </w:p>
        </w:tc>
        <w:tc>
          <w:tcPr>
            <w:tcW w:w="2410" w:type="dxa"/>
            <w:gridSpan w:val="2"/>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Eki.14</w:t>
            </w:r>
          </w:p>
        </w:tc>
        <w:tc>
          <w:tcPr>
            <w:tcW w:w="2693" w:type="dxa"/>
            <w:gridSpan w:val="2"/>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 xml:space="preserve">Bir önceki aya göre % değişim </w:t>
            </w:r>
          </w:p>
        </w:tc>
        <w:tc>
          <w:tcPr>
            <w:tcW w:w="3402" w:type="dxa"/>
            <w:gridSpan w:val="2"/>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 xml:space="preserve">Bir önceki yılın aynı ayına göre % değişim </w:t>
            </w:r>
          </w:p>
        </w:tc>
      </w:tr>
      <w:tr w:rsidR="006D2FA8" w:rsidRPr="006D2FA8" w:rsidTr="006D2FA8">
        <w:trPr>
          <w:trHeight w:val="255"/>
        </w:trPr>
        <w:tc>
          <w:tcPr>
            <w:tcW w:w="135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 Türkiye</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TR71 Kırıkkale, Aksaray, Niğde, Nevşehir, Kırşehir</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 Türkiye</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TR71 Kırıkkale, Aksaray, Niğde, Nevşehir, Kırşehir</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 Türkiye</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TR71 Kırıkkale, Aksaray, Niğde, Nevşehir, Kırşehir</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 Türkiye</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TR71 Kırıkkale, Aksaray, Niğde, Nevşehir, Kırşehir</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 Türkiye</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TR71 Kırıkkale, Aksaray, Niğde, Nevşehir, Kırşehir</w:t>
            </w:r>
          </w:p>
        </w:tc>
      </w:tr>
      <w:tr w:rsidR="006D2FA8" w:rsidRPr="006D2FA8" w:rsidTr="006D2FA8">
        <w:trPr>
          <w:trHeight w:val="255"/>
        </w:trPr>
        <w:tc>
          <w:tcPr>
            <w:tcW w:w="135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Genel</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227,94</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235,62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243,74</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249,98</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248,37</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253,55</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1,90</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1,43</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8,96</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7,61</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01. (Gıda Ve Alkolsüz İçecekler)</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241,62</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253,5</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264,95</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272,87</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271,97</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278,95</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2,65</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2,23</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12,56</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10,04</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02. (Alkollü İçecekler Ve Tütün)</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396,99</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407,73</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413,42</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424,74</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413,41</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424,63</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0,00</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-0,03</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4,14</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4,14</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03. (Giyim Ve Ayakkabı)</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160,43</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153,41</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158,79</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155,81</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174,59</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164,41</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9,95</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5,52</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8,83</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7,17</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04. (Konut, Su, Elektrik, Gaz Ve Diğer Yakıtlar)</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266</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266,99</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278,79</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273,12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286,99</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280,03</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2,94</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2,53</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7,89</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4,88</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05. (Mobilya, Ev Aletleri Ve Ev Bakım Hizmetleri)</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178,86</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163,27</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192,36</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177,78</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192,75</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178,73</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0,20</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0,53</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7,77</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9,47</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06. (Sağlık)</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134,66</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130,93</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146,98</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142,16</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148,01</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142,47</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0,70</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0,22</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9,91</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8,81</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07. (Ulaştırma)</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224,11</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240,52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239,97</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251,35</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239,53</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250,52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-0,18</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-0,33</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6,88</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4,16</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08. (Haberleşme)</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123,08</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120,8</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124,8</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122,92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124,68</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122,83</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-0,10</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-0,07</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1,30</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1,68</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09. (Eğlence Ve Kültür)</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163,47</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147,6</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176,5</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160,32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176,55</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160,59</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0,03</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0,17</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8,00</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8,80</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10. (Eğitim)</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232,74</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236,06</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250,17</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260,22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251,47</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262,55</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0,52</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0,90</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8,05</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11,22</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lastRenderedPageBreak/>
              <w:t>11. (Lokanta Ve Oteller)</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304,32</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298,11</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344,98</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345,2</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347,96</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348,55</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0,86</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0,97</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14,34</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16,92</w:t>
            </w:r>
          </w:p>
        </w:tc>
      </w:tr>
      <w:tr w:rsidR="006D2FA8" w:rsidRPr="006D2FA8" w:rsidTr="006D2FA8">
        <w:trPr>
          <w:trHeight w:val="255"/>
        </w:trPr>
        <w:tc>
          <w:tcPr>
            <w:tcW w:w="1352" w:type="dxa"/>
            <w:vMerge w:val="restart"/>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12. (Çeşitli Mal Ve Hizmetler)</w:t>
            </w: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p>
        </w:tc>
      </w:tr>
      <w:tr w:rsidR="006D2FA8" w:rsidRPr="006D2FA8" w:rsidTr="006D2FA8">
        <w:trPr>
          <w:trHeight w:val="255"/>
        </w:trPr>
        <w:tc>
          <w:tcPr>
            <w:tcW w:w="1352" w:type="dxa"/>
            <w:vMerge/>
            <w:vAlign w:val="center"/>
            <w:hideMark/>
          </w:tcPr>
          <w:p w:rsidR="006D2FA8" w:rsidRPr="006D2FA8" w:rsidRDefault="006D2FA8" w:rsidP="006D2FA8">
            <w:pPr>
              <w:spacing w:after="0" w:line="240" w:lineRule="auto"/>
              <w:rPr>
                <w:rFonts w:ascii="Arial" w:eastAsia="Times New Roman" w:hAnsi="Arial" w:cs="Arial"/>
                <w:sz w:val="20"/>
                <w:szCs w:val="20"/>
                <w:lang w:eastAsia="tr-TR"/>
              </w:rPr>
            </w:pPr>
          </w:p>
        </w:tc>
        <w:tc>
          <w:tcPr>
            <w:tcW w:w="935"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257,65</w:t>
            </w:r>
          </w:p>
        </w:tc>
        <w:tc>
          <w:tcPr>
            <w:tcW w:w="1560"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341,41</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279,14</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370,54</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281,21</w:t>
            </w:r>
          </w:p>
        </w:tc>
        <w:tc>
          <w:tcPr>
            <w:tcW w:w="1418"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373,28</w:t>
            </w:r>
          </w:p>
        </w:tc>
        <w:tc>
          <w:tcPr>
            <w:tcW w:w="992"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0,74</w:t>
            </w:r>
          </w:p>
        </w:tc>
        <w:tc>
          <w:tcPr>
            <w:tcW w:w="1701"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0,74</w:t>
            </w:r>
          </w:p>
        </w:tc>
        <w:tc>
          <w:tcPr>
            <w:tcW w:w="1559"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9,14</w:t>
            </w:r>
          </w:p>
        </w:tc>
        <w:tc>
          <w:tcPr>
            <w:tcW w:w="1843" w:type="dxa"/>
            <w:shd w:val="clear" w:color="auto" w:fill="auto"/>
            <w:noWrap/>
            <w:vAlign w:val="bottom"/>
            <w:hideMark/>
          </w:tcPr>
          <w:p w:rsidR="006D2FA8" w:rsidRPr="006D2FA8" w:rsidRDefault="006D2FA8" w:rsidP="006D2FA8">
            <w:pPr>
              <w:spacing w:after="0" w:line="240" w:lineRule="auto"/>
              <w:rPr>
                <w:rFonts w:ascii="Arial" w:eastAsia="Times New Roman" w:hAnsi="Arial" w:cs="Arial"/>
                <w:sz w:val="20"/>
                <w:szCs w:val="20"/>
                <w:lang w:eastAsia="tr-TR"/>
              </w:rPr>
            </w:pPr>
            <w:r w:rsidRPr="006D2FA8">
              <w:rPr>
                <w:rFonts w:ascii="Arial" w:eastAsia="Times New Roman" w:hAnsi="Arial" w:cs="Arial"/>
                <w:sz w:val="20"/>
                <w:szCs w:val="20"/>
                <w:lang w:eastAsia="tr-TR"/>
              </w:rPr>
              <w:t>9,33</w:t>
            </w:r>
          </w:p>
        </w:tc>
      </w:tr>
    </w:tbl>
    <w:p w:rsidR="00E27CF8" w:rsidRDefault="00E27CF8"/>
    <w:p w:rsidR="00897B73" w:rsidRDefault="00897B73" w:rsidP="00897B73">
      <w:pPr>
        <w:rPr>
          <w:b/>
        </w:rPr>
      </w:pPr>
    </w:p>
    <w:p w:rsidR="00897B73" w:rsidRDefault="00897B73" w:rsidP="00897B73">
      <w:r>
        <w:t xml:space="preserve">Ekim 2014 Tüketici Fiyatları Endeksi (TÜFE) ve Üretici Fiyatları Endeksi (ÜFE) Kısa Bilgi Notu (3 Kasım 2014). </w:t>
      </w:r>
    </w:p>
    <w:p w:rsidR="00897B73" w:rsidRDefault="00897B73" w:rsidP="00897B73">
      <w:r>
        <w:t>TÜFE (203=10) endeksi, kentlerde yaşayan ailelerin tükettiği mal ve hizmet fiyatlarındaki değişimi ortalama olarak ölçmektedir. Ekim (2014) ayında Türkiye (TR) Geneli TÜFE endeksi (Tablo 1) bir önceki aya (Eylül 2014) göre yüzde 1,90 artış göstererek 248,37 değeri almıştır. Endeks bir önceki yılın aynı ayına göre yüzde 8,96 oranında artış göstermiştir. Ekim (2014) ayında ana harcama grupları itibariyle en yüksek artış yüzde 9,95 ile giyim ve ayakkabı grubunda yaşanırken, bunu yüzde 2,94 artışla konut-enerji ve yüzde 2,65 artışla gıda ve alkolsüz içecekler takip etmektedir. En fazla düşüş gösteren ana harcama kategorisi se yüzde 0,18 (negatif) ile ulaştırma grubudur. Benzer biçimde haberleşme grubu fiyatları da bu ay yüzde 0,10 düşüş göstermiştir.</w:t>
      </w:r>
    </w:p>
    <w:p w:rsidR="00C96B2D" w:rsidRDefault="00897B73" w:rsidP="00897B73">
      <w:pPr>
        <w:rPr>
          <w:rFonts w:ascii="Arial" w:eastAsia="Times New Roman" w:hAnsi="Arial" w:cs="Arial"/>
          <w:sz w:val="20"/>
          <w:szCs w:val="20"/>
          <w:lang w:eastAsia="tr-TR"/>
        </w:rPr>
      </w:pPr>
      <w:r>
        <w:t xml:space="preserve">2014 Ekim </w:t>
      </w:r>
      <w:r w:rsidR="00837407">
        <w:t xml:space="preserve">ayı için </w:t>
      </w:r>
      <w:r w:rsidR="00837407" w:rsidRPr="006D2FA8">
        <w:rPr>
          <w:rFonts w:ascii="Arial" w:eastAsia="Times New Roman" w:hAnsi="Arial" w:cs="Arial"/>
          <w:sz w:val="20"/>
          <w:szCs w:val="20"/>
          <w:lang w:eastAsia="tr-TR"/>
        </w:rPr>
        <w:t>TR71 Kırıkkale, Aksaray, Niğde, Nevşehir, Kırşehir</w:t>
      </w:r>
      <w:r w:rsidR="00837407">
        <w:rPr>
          <w:rFonts w:ascii="Arial" w:eastAsia="Times New Roman" w:hAnsi="Arial" w:cs="Arial"/>
          <w:sz w:val="20"/>
          <w:szCs w:val="20"/>
          <w:lang w:eastAsia="tr-TR"/>
        </w:rPr>
        <w:t xml:space="preserve"> alt bölgesi TÜFE endeksi bir önceki aya (Eylül 2014) göre % 1.43 artışla 253.55 değerine ulaşmıştır. Bir önceki yılın aynı ayına göre ise %7.61 artış göstermiştir bu endeks. Ana harcama gruplarıyla bölgemiz Türkiye genelinde olduğu gibi %5.52 ile Giyim ve ayakkabı grubunda en yüksek atış gerçekleşmiştir. Bunu </w:t>
      </w:r>
      <w:r w:rsidR="00C96B2D">
        <w:rPr>
          <w:rFonts w:ascii="Arial" w:eastAsia="Times New Roman" w:hAnsi="Arial" w:cs="Arial"/>
          <w:sz w:val="20"/>
          <w:szCs w:val="20"/>
          <w:lang w:eastAsia="tr-TR"/>
        </w:rPr>
        <w:t xml:space="preserve">konut-enerji grubu %2.53 ile takip etmiştir. Gıda ve Alkolsüz İçecekler grubunda ise 2.23 lük artışla üçüncü grup olmuştur. En fazla düşüş ise %0.33 ile Ulaştırma grubunda gerçekleşmiştir. </w:t>
      </w:r>
    </w:p>
    <w:p w:rsidR="00C96B2D" w:rsidRPr="00C96B2D" w:rsidRDefault="00C96B2D" w:rsidP="00897B73">
      <w:pPr>
        <w:rPr>
          <w:rFonts w:ascii="Arial" w:eastAsia="Times New Roman" w:hAnsi="Arial" w:cs="Arial"/>
          <w:sz w:val="20"/>
          <w:szCs w:val="20"/>
          <w:lang w:eastAsia="tr-TR"/>
        </w:rPr>
      </w:pPr>
      <w:r>
        <w:rPr>
          <w:rFonts w:ascii="Arial" w:eastAsia="Times New Roman" w:hAnsi="Arial" w:cs="Arial"/>
          <w:sz w:val="20"/>
          <w:szCs w:val="20"/>
          <w:lang w:eastAsia="tr-TR"/>
        </w:rPr>
        <w:t>Kısaca Ekim 2014  TÜFE bazlı ekim ayı enflasyon oranı %1.43 ile Bölgemizde gerçekleşirken son 12 aylık enflasyon  ise bölgemiz için %7.61 olarak gerçekleşmiştir.</w:t>
      </w:r>
    </w:p>
    <w:sectPr w:rsidR="00C96B2D" w:rsidRPr="00C96B2D" w:rsidSect="006D2FA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6D2FA8"/>
    <w:rsid w:val="006D2FA8"/>
    <w:rsid w:val="00837407"/>
    <w:rsid w:val="00897B73"/>
    <w:rsid w:val="00C753AC"/>
    <w:rsid w:val="00C96B2D"/>
    <w:rsid w:val="00E27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0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508</Words>
  <Characters>2900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2014-11-11T06:33:00Z</dcterms:created>
  <dcterms:modified xsi:type="dcterms:W3CDTF">2014-11-11T07:12:00Z</dcterms:modified>
</cp:coreProperties>
</file>